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252A3" w14:textId="06C295D2" w:rsidR="00FE1A75" w:rsidRPr="008B029F" w:rsidRDefault="00FB5E9C" w:rsidP="00FB5E9C">
      <w:pPr>
        <w:jc w:val="center"/>
        <w:rPr>
          <w:rFonts w:ascii="Garamond" w:hAnsi="Garamond"/>
          <w:b/>
          <w:bCs/>
          <w:sz w:val="24"/>
          <w:szCs w:val="24"/>
        </w:rPr>
      </w:pPr>
      <w:r w:rsidRPr="008B029F">
        <w:rPr>
          <w:rFonts w:ascii="Garamond" w:hAnsi="Garamond"/>
          <w:b/>
          <w:bCs/>
          <w:sz w:val="24"/>
          <w:szCs w:val="24"/>
        </w:rPr>
        <w:t>INFORMATIVA</w:t>
      </w:r>
      <w:r w:rsidR="008B029F">
        <w:rPr>
          <w:rFonts w:ascii="Garamond" w:hAnsi="Garamond"/>
          <w:b/>
          <w:bCs/>
          <w:sz w:val="24"/>
          <w:szCs w:val="24"/>
        </w:rPr>
        <w:t xml:space="preserve"> SUI</w:t>
      </w:r>
      <w:r w:rsidRPr="008B029F">
        <w:rPr>
          <w:rFonts w:ascii="Garamond" w:hAnsi="Garamond"/>
          <w:b/>
          <w:bCs/>
          <w:sz w:val="24"/>
          <w:szCs w:val="24"/>
        </w:rPr>
        <w:t xml:space="preserve"> CONTRIBUTI PUBBLICI</w:t>
      </w:r>
      <w:r w:rsidR="008B029F">
        <w:rPr>
          <w:rFonts w:ascii="Garamond" w:hAnsi="Garamond"/>
          <w:b/>
          <w:bCs/>
          <w:sz w:val="24"/>
          <w:szCs w:val="24"/>
        </w:rPr>
        <w:t xml:space="preserve"> INCASSATI</w:t>
      </w:r>
    </w:p>
    <w:p w14:paraId="67D90F07" w14:textId="77777777" w:rsidR="00FB5E9C" w:rsidRPr="008B029F" w:rsidRDefault="00FB5E9C">
      <w:pPr>
        <w:rPr>
          <w:rFonts w:ascii="Garamond" w:hAnsi="Garamond"/>
          <w:sz w:val="24"/>
          <w:szCs w:val="24"/>
        </w:rPr>
      </w:pPr>
    </w:p>
    <w:p w14:paraId="0D227B41" w14:textId="16B4B014" w:rsidR="00FB5E9C" w:rsidRPr="008B029F" w:rsidRDefault="00FB5E9C">
      <w:pPr>
        <w:rPr>
          <w:rFonts w:ascii="Garamond" w:hAnsi="Garamond"/>
          <w:sz w:val="24"/>
          <w:szCs w:val="24"/>
        </w:rPr>
      </w:pPr>
      <w:r w:rsidRPr="008B029F">
        <w:rPr>
          <w:rFonts w:ascii="Garamond" w:hAnsi="Garamond"/>
          <w:sz w:val="24"/>
          <w:szCs w:val="24"/>
        </w:rPr>
        <w:t>In ottemperanza con quanto richiesto dalla legge 124/2017 sono riepilogati di seguito i contribuiti ricevuti dalla società nel corso dell’esercizio 2021</w:t>
      </w:r>
      <w:r w:rsidR="00A17D7A">
        <w:rPr>
          <w:rFonts w:ascii="Garamond" w:hAnsi="Garamond"/>
          <w:sz w:val="24"/>
          <w:szCs w:val="24"/>
        </w:rPr>
        <w:t xml:space="preserve"> e 2022</w:t>
      </w:r>
    </w:p>
    <w:p w14:paraId="7EDF1BD1" w14:textId="77777777" w:rsidR="00FB5E9C" w:rsidRPr="008B029F" w:rsidRDefault="00FB5E9C">
      <w:pPr>
        <w:rPr>
          <w:rFonts w:ascii="Garamond" w:hAnsi="Garamond"/>
          <w:sz w:val="24"/>
          <w:szCs w:val="24"/>
        </w:rPr>
      </w:pPr>
    </w:p>
    <w:tbl>
      <w:tblPr>
        <w:tblStyle w:val="Grigliatabella"/>
        <w:tblW w:w="0" w:type="auto"/>
        <w:tblInd w:w="-5" w:type="dxa"/>
        <w:tblLook w:val="04A0" w:firstRow="1" w:lastRow="0" w:firstColumn="1" w:lastColumn="0" w:noHBand="0" w:noVBand="1"/>
      </w:tblPr>
      <w:tblGrid>
        <w:gridCol w:w="1985"/>
        <w:gridCol w:w="3118"/>
        <w:gridCol w:w="2123"/>
        <w:gridCol w:w="2407"/>
      </w:tblGrid>
      <w:tr w:rsidR="00FB5E9C" w:rsidRPr="008B029F" w14:paraId="38A6F8E9" w14:textId="77777777" w:rsidTr="008B029F">
        <w:tc>
          <w:tcPr>
            <w:tcW w:w="1985" w:type="dxa"/>
          </w:tcPr>
          <w:p w14:paraId="503B0B66" w14:textId="77777777" w:rsidR="00FB5E9C" w:rsidRPr="008B029F" w:rsidRDefault="00FB5E9C" w:rsidP="00FB5E9C">
            <w:pPr>
              <w:jc w:val="center"/>
              <w:rPr>
                <w:rFonts w:ascii="Garamond" w:hAnsi="Garamond"/>
                <w:b/>
                <w:bCs/>
                <w:sz w:val="24"/>
                <w:szCs w:val="24"/>
              </w:rPr>
            </w:pPr>
            <w:r w:rsidRPr="008B029F">
              <w:rPr>
                <w:rFonts w:ascii="Garamond" w:hAnsi="Garamond"/>
                <w:b/>
                <w:bCs/>
                <w:sz w:val="24"/>
                <w:szCs w:val="24"/>
              </w:rPr>
              <w:t>Soggetto Erogante</w:t>
            </w:r>
          </w:p>
        </w:tc>
        <w:tc>
          <w:tcPr>
            <w:tcW w:w="3118" w:type="dxa"/>
          </w:tcPr>
          <w:p w14:paraId="0431263E" w14:textId="77777777" w:rsidR="00FB5E9C" w:rsidRPr="008B029F" w:rsidRDefault="00FB5E9C" w:rsidP="00FB5E9C">
            <w:pPr>
              <w:jc w:val="center"/>
              <w:rPr>
                <w:rFonts w:ascii="Garamond" w:hAnsi="Garamond"/>
                <w:b/>
                <w:bCs/>
                <w:sz w:val="24"/>
                <w:szCs w:val="24"/>
              </w:rPr>
            </w:pPr>
            <w:r w:rsidRPr="008B029F">
              <w:rPr>
                <w:rFonts w:ascii="Garamond" w:hAnsi="Garamond"/>
                <w:b/>
                <w:bCs/>
                <w:sz w:val="24"/>
                <w:szCs w:val="24"/>
              </w:rPr>
              <w:t>Causale/Riferimento normativo</w:t>
            </w:r>
          </w:p>
        </w:tc>
        <w:tc>
          <w:tcPr>
            <w:tcW w:w="2123" w:type="dxa"/>
          </w:tcPr>
          <w:p w14:paraId="6C94D85C" w14:textId="77777777" w:rsidR="00FB5E9C" w:rsidRPr="008B029F" w:rsidRDefault="00FB5E9C" w:rsidP="00FB5E9C">
            <w:pPr>
              <w:jc w:val="center"/>
              <w:rPr>
                <w:rFonts w:ascii="Garamond" w:hAnsi="Garamond"/>
                <w:b/>
                <w:bCs/>
                <w:sz w:val="24"/>
                <w:szCs w:val="24"/>
              </w:rPr>
            </w:pPr>
            <w:r w:rsidRPr="008B029F">
              <w:rPr>
                <w:rFonts w:ascii="Garamond" w:hAnsi="Garamond"/>
                <w:b/>
                <w:bCs/>
                <w:sz w:val="24"/>
                <w:szCs w:val="24"/>
              </w:rPr>
              <w:t>Data di incasso</w:t>
            </w:r>
          </w:p>
        </w:tc>
        <w:tc>
          <w:tcPr>
            <w:tcW w:w="2407" w:type="dxa"/>
          </w:tcPr>
          <w:p w14:paraId="253D3856" w14:textId="77777777" w:rsidR="00FB5E9C" w:rsidRPr="008B029F" w:rsidRDefault="00FB5E9C" w:rsidP="00FB5E9C">
            <w:pPr>
              <w:jc w:val="center"/>
              <w:rPr>
                <w:rFonts w:ascii="Garamond" w:hAnsi="Garamond"/>
                <w:b/>
                <w:bCs/>
                <w:sz w:val="24"/>
                <w:szCs w:val="24"/>
              </w:rPr>
            </w:pPr>
            <w:r w:rsidRPr="008B029F">
              <w:rPr>
                <w:rFonts w:ascii="Garamond" w:hAnsi="Garamond"/>
                <w:b/>
                <w:bCs/>
                <w:sz w:val="24"/>
                <w:szCs w:val="24"/>
              </w:rPr>
              <w:t>Importo incassato</w:t>
            </w:r>
          </w:p>
        </w:tc>
      </w:tr>
      <w:tr w:rsidR="00FB5E9C" w:rsidRPr="008B029F" w14:paraId="44E00A84" w14:textId="77777777" w:rsidTr="008B029F">
        <w:tc>
          <w:tcPr>
            <w:tcW w:w="1985" w:type="dxa"/>
          </w:tcPr>
          <w:p w14:paraId="78A7C8ED" w14:textId="48665C68" w:rsidR="00FB5E9C" w:rsidRPr="008B029F" w:rsidRDefault="008B029F" w:rsidP="008B029F">
            <w:pPr>
              <w:jc w:val="center"/>
              <w:rPr>
                <w:rFonts w:ascii="Garamond" w:hAnsi="Garamond"/>
                <w:sz w:val="24"/>
                <w:szCs w:val="24"/>
              </w:rPr>
            </w:pPr>
            <w:r w:rsidRPr="008B029F">
              <w:rPr>
                <w:rFonts w:ascii="Garamond" w:hAnsi="Garamond" w:cs="Tahoma"/>
                <w:color w:val="333333"/>
                <w:sz w:val="24"/>
                <w:szCs w:val="24"/>
                <w:shd w:val="clear" w:color="auto" w:fill="FFFFFF"/>
              </w:rPr>
              <w:t xml:space="preserve">Banca del Mezzogiorno </w:t>
            </w:r>
            <w:proofErr w:type="spellStart"/>
            <w:r w:rsidRPr="008B029F">
              <w:rPr>
                <w:rFonts w:ascii="Garamond" w:hAnsi="Garamond" w:cs="Tahoma"/>
                <w:color w:val="333333"/>
                <w:sz w:val="24"/>
                <w:szCs w:val="24"/>
                <w:shd w:val="clear" w:color="auto" w:fill="FFFFFF"/>
              </w:rPr>
              <w:t>MedioCredito</w:t>
            </w:r>
            <w:proofErr w:type="spellEnd"/>
            <w:r w:rsidRPr="008B029F">
              <w:rPr>
                <w:rFonts w:ascii="Garamond" w:hAnsi="Garamond" w:cs="Tahoma"/>
                <w:color w:val="333333"/>
                <w:sz w:val="24"/>
                <w:szCs w:val="24"/>
                <w:shd w:val="clear" w:color="auto" w:fill="FFFFFF"/>
              </w:rPr>
              <w:t xml:space="preserve"> Centrale S.p.A.</w:t>
            </w:r>
          </w:p>
        </w:tc>
        <w:tc>
          <w:tcPr>
            <w:tcW w:w="3118" w:type="dxa"/>
          </w:tcPr>
          <w:p w14:paraId="57D41479" w14:textId="77777777" w:rsidR="00FB5E9C" w:rsidRPr="008B029F" w:rsidRDefault="000E4AD2">
            <w:pPr>
              <w:rPr>
                <w:rFonts w:ascii="Garamond" w:hAnsi="Garamond"/>
                <w:sz w:val="24"/>
                <w:szCs w:val="24"/>
              </w:rPr>
            </w:pPr>
            <w:r w:rsidRPr="008B029F">
              <w:rPr>
                <w:rFonts w:ascii="Garamond" w:hAnsi="Garamond" w:cs="Tahoma"/>
                <w:color w:val="333333"/>
                <w:sz w:val="24"/>
                <w:szCs w:val="24"/>
                <w:shd w:val="clear" w:color="auto" w:fill="FFFFFF"/>
              </w:rPr>
              <w:t xml:space="preserve">DECRETO-LEGGE 8 aprile 2020, n. 23 Misure urgenti in materia di accesso al credito e di adempimenti fiscali per le imprese, di poteri speciali nei settori strategici, </w:t>
            </w:r>
            <w:proofErr w:type="spellStart"/>
            <w:r w:rsidRPr="008B029F">
              <w:rPr>
                <w:rFonts w:ascii="Garamond" w:hAnsi="Garamond" w:cs="Tahoma"/>
                <w:color w:val="333333"/>
                <w:sz w:val="24"/>
                <w:szCs w:val="24"/>
                <w:shd w:val="clear" w:color="auto" w:fill="FFFFFF"/>
              </w:rPr>
              <w:t>nonche</w:t>
            </w:r>
            <w:proofErr w:type="spellEnd"/>
            <w:r w:rsidRPr="008B029F">
              <w:rPr>
                <w:rFonts w:ascii="Garamond" w:hAnsi="Garamond" w:cs="Tahoma"/>
                <w:color w:val="333333"/>
                <w:sz w:val="24"/>
                <w:szCs w:val="24"/>
                <w:shd w:val="clear" w:color="auto" w:fill="FFFFFF"/>
              </w:rPr>
              <w:t>' interventi in materia di salute e lavoro, di proroga di termini amministrativi e processuali. (20G00043) (GU Serie Generale n.94 del 08-04-2020)</w:t>
            </w:r>
          </w:p>
        </w:tc>
        <w:tc>
          <w:tcPr>
            <w:tcW w:w="2123" w:type="dxa"/>
          </w:tcPr>
          <w:p w14:paraId="7E2240D7" w14:textId="77777777" w:rsidR="00FB5E9C" w:rsidRPr="008B029F" w:rsidRDefault="00CF33B0" w:rsidP="00CF33B0">
            <w:pPr>
              <w:jc w:val="center"/>
              <w:rPr>
                <w:rFonts w:ascii="Garamond" w:hAnsi="Garamond"/>
                <w:sz w:val="24"/>
                <w:szCs w:val="24"/>
              </w:rPr>
            </w:pPr>
            <w:r w:rsidRPr="008B029F">
              <w:rPr>
                <w:rFonts w:ascii="Garamond" w:hAnsi="Garamond"/>
                <w:sz w:val="24"/>
                <w:szCs w:val="24"/>
              </w:rPr>
              <w:t>31/12/2021</w:t>
            </w:r>
          </w:p>
        </w:tc>
        <w:tc>
          <w:tcPr>
            <w:tcW w:w="2407" w:type="dxa"/>
          </w:tcPr>
          <w:p w14:paraId="031E84FA" w14:textId="3F248CAE" w:rsidR="00FB5E9C" w:rsidRPr="008B029F" w:rsidRDefault="008B029F" w:rsidP="00CF33B0">
            <w:pPr>
              <w:jc w:val="center"/>
              <w:rPr>
                <w:rFonts w:ascii="Garamond" w:hAnsi="Garamond"/>
                <w:sz w:val="24"/>
                <w:szCs w:val="24"/>
              </w:rPr>
            </w:pPr>
            <w:r w:rsidRPr="008B029F">
              <w:rPr>
                <w:rFonts w:ascii="Garamond" w:hAnsi="Garamond"/>
                <w:sz w:val="24"/>
                <w:szCs w:val="24"/>
              </w:rPr>
              <w:t xml:space="preserve">Garanzia pubblica </w:t>
            </w:r>
            <w:r w:rsidR="00F771E0">
              <w:rPr>
                <w:rFonts w:ascii="Garamond" w:hAnsi="Garamond"/>
                <w:sz w:val="24"/>
                <w:szCs w:val="24"/>
              </w:rPr>
              <w:t>a valere su</w:t>
            </w:r>
            <w:r w:rsidRPr="008B029F">
              <w:rPr>
                <w:rFonts w:ascii="Garamond" w:hAnsi="Garamond"/>
                <w:sz w:val="24"/>
                <w:szCs w:val="24"/>
              </w:rPr>
              <w:t xml:space="preserve"> un finanziamento </w:t>
            </w:r>
            <w:r w:rsidR="00F771E0">
              <w:rPr>
                <w:rFonts w:ascii="Garamond" w:hAnsi="Garamond"/>
                <w:sz w:val="24"/>
                <w:szCs w:val="24"/>
              </w:rPr>
              <w:t xml:space="preserve">bancario </w:t>
            </w:r>
            <w:r w:rsidRPr="008B029F">
              <w:rPr>
                <w:rFonts w:ascii="Garamond" w:hAnsi="Garamond"/>
                <w:sz w:val="24"/>
                <w:szCs w:val="24"/>
              </w:rPr>
              <w:t xml:space="preserve">di euro 8.800.000. L’importo </w:t>
            </w:r>
            <w:r w:rsidR="00F771E0">
              <w:rPr>
                <w:rFonts w:ascii="Garamond" w:hAnsi="Garamond"/>
                <w:sz w:val="24"/>
                <w:szCs w:val="24"/>
              </w:rPr>
              <w:t>dell’</w:t>
            </w:r>
            <w:r w:rsidRPr="008B029F">
              <w:rPr>
                <w:rFonts w:ascii="Garamond" w:hAnsi="Garamond"/>
                <w:sz w:val="24"/>
                <w:szCs w:val="24"/>
              </w:rPr>
              <w:t xml:space="preserve">equivalente sovvenzione lorda </w:t>
            </w:r>
            <w:r w:rsidR="00F771E0">
              <w:rPr>
                <w:rFonts w:ascii="Garamond" w:hAnsi="Garamond"/>
                <w:sz w:val="24"/>
                <w:szCs w:val="24"/>
              </w:rPr>
              <w:t xml:space="preserve">è </w:t>
            </w:r>
            <w:r w:rsidRPr="008B029F">
              <w:rPr>
                <w:rFonts w:ascii="Garamond" w:hAnsi="Garamond"/>
                <w:sz w:val="24"/>
                <w:szCs w:val="24"/>
              </w:rPr>
              <w:t xml:space="preserve">pari ad euro </w:t>
            </w:r>
            <w:r w:rsidR="00CF33B0" w:rsidRPr="008B029F">
              <w:rPr>
                <w:rFonts w:ascii="Garamond" w:hAnsi="Garamond"/>
                <w:sz w:val="24"/>
                <w:szCs w:val="24"/>
              </w:rPr>
              <w:t>22.445,15</w:t>
            </w:r>
          </w:p>
        </w:tc>
      </w:tr>
      <w:tr w:rsidR="00A17D7A" w:rsidRPr="008B029F" w14:paraId="0C8C8816" w14:textId="77777777" w:rsidTr="008B029F">
        <w:tc>
          <w:tcPr>
            <w:tcW w:w="1985" w:type="dxa"/>
          </w:tcPr>
          <w:p w14:paraId="180F1ABF" w14:textId="53FBAD00" w:rsidR="00A17D7A" w:rsidRPr="008B029F" w:rsidRDefault="00A17D7A" w:rsidP="008B029F">
            <w:pPr>
              <w:jc w:val="center"/>
              <w:rPr>
                <w:rFonts w:ascii="Garamond" w:hAnsi="Garamond" w:cs="Tahoma"/>
                <w:color w:val="333333"/>
                <w:sz w:val="24"/>
                <w:szCs w:val="24"/>
                <w:shd w:val="clear" w:color="auto" w:fill="FFFFFF"/>
              </w:rPr>
            </w:pPr>
            <w:r w:rsidRPr="00A17D7A">
              <w:rPr>
                <w:rFonts w:ascii="Garamond" w:hAnsi="Garamond" w:cs="Tahoma"/>
                <w:color w:val="333333"/>
                <w:sz w:val="24"/>
                <w:szCs w:val="24"/>
                <w:shd w:val="clear" w:color="auto" w:fill="FFFFFF"/>
              </w:rPr>
              <w:t>Ministero della Cultura</w:t>
            </w:r>
          </w:p>
        </w:tc>
        <w:tc>
          <w:tcPr>
            <w:tcW w:w="3118" w:type="dxa"/>
          </w:tcPr>
          <w:p w14:paraId="1681C95C" w14:textId="67534324" w:rsidR="00A17D7A" w:rsidRPr="008B029F" w:rsidRDefault="00A17D7A" w:rsidP="00A17D7A">
            <w:pPr>
              <w:jc w:val="center"/>
              <w:rPr>
                <w:rFonts w:ascii="Garamond" w:hAnsi="Garamond" w:cs="Tahoma"/>
                <w:color w:val="333333"/>
                <w:sz w:val="24"/>
                <w:szCs w:val="24"/>
                <w:shd w:val="clear" w:color="auto" w:fill="FFFFFF"/>
              </w:rPr>
            </w:pPr>
            <w:r w:rsidRPr="00A17D7A">
              <w:rPr>
                <w:rFonts w:ascii="Garamond" w:hAnsi="Garamond" w:cs="Tahoma"/>
                <w:color w:val="333333"/>
                <w:sz w:val="24"/>
                <w:szCs w:val="24"/>
                <w:shd w:val="clear" w:color="auto" w:fill="FFFFFF"/>
              </w:rPr>
              <w:t>Disciplina del Cinema e dell'Audiovisivo - Contributo selettivo alla produzione di opere cinematografiche e audiovisive - Art. 26 Legge 220/2016</w:t>
            </w:r>
          </w:p>
        </w:tc>
        <w:tc>
          <w:tcPr>
            <w:tcW w:w="2123" w:type="dxa"/>
          </w:tcPr>
          <w:p w14:paraId="0C169C33" w14:textId="629321DC" w:rsidR="00A17D7A" w:rsidRPr="008B029F" w:rsidRDefault="00A17D7A" w:rsidP="00CF33B0">
            <w:pPr>
              <w:jc w:val="center"/>
              <w:rPr>
                <w:rFonts w:ascii="Garamond" w:hAnsi="Garamond"/>
                <w:sz w:val="24"/>
                <w:szCs w:val="24"/>
              </w:rPr>
            </w:pPr>
            <w:r w:rsidRPr="00A17D7A">
              <w:rPr>
                <w:rFonts w:ascii="Garamond" w:hAnsi="Garamond"/>
                <w:sz w:val="24"/>
                <w:szCs w:val="24"/>
              </w:rPr>
              <w:t>Compensato nel 2022</w:t>
            </w:r>
          </w:p>
        </w:tc>
        <w:tc>
          <w:tcPr>
            <w:tcW w:w="2407" w:type="dxa"/>
          </w:tcPr>
          <w:p w14:paraId="5A7318D5" w14:textId="68460DFA" w:rsidR="00A17D7A" w:rsidRPr="008B029F" w:rsidRDefault="00A17D7A" w:rsidP="00CF33B0">
            <w:pPr>
              <w:jc w:val="center"/>
              <w:rPr>
                <w:rFonts w:ascii="Garamond" w:hAnsi="Garamond"/>
                <w:sz w:val="24"/>
                <w:szCs w:val="24"/>
              </w:rPr>
            </w:pPr>
            <w:r w:rsidRPr="00A17D7A">
              <w:rPr>
                <w:rFonts w:ascii="Garamond" w:hAnsi="Garamond"/>
                <w:sz w:val="24"/>
                <w:szCs w:val="24"/>
              </w:rPr>
              <w:t>777</w:t>
            </w:r>
            <w:r>
              <w:rPr>
                <w:rFonts w:ascii="Garamond" w:hAnsi="Garamond"/>
                <w:sz w:val="24"/>
                <w:szCs w:val="24"/>
              </w:rPr>
              <w:t>.</w:t>
            </w:r>
            <w:r w:rsidRPr="00A17D7A">
              <w:rPr>
                <w:rFonts w:ascii="Garamond" w:hAnsi="Garamond"/>
                <w:sz w:val="24"/>
                <w:szCs w:val="24"/>
              </w:rPr>
              <w:t>65</w:t>
            </w:r>
            <w:r>
              <w:rPr>
                <w:rFonts w:ascii="Garamond" w:hAnsi="Garamond"/>
                <w:sz w:val="24"/>
                <w:szCs w:val="24"/>
              </w:rPr>
              <w:t>2</w:t>
            </w:r>
          </w:p>
        </w:tc>
      </w:tr>
    </w:tbl>
    <w:p w14:paraId="62003D6D" w14:textId="77777777" w:rsidR="00FB5E9C" w:rsidRPr="008B029F" w:rsidRDefault="00FB5E9C">
      <w:pPr>
        <w:rPr>
          <w:rFonts w:ascii="Garamond" w:hAnsi="Garamond"/>
          <w:sz w:val="24"/>
          <w:szCs w:val="24"/>
        </w:rPr>
      </w:pPr>
    </w:p>
    <w:p w14:paraId="3E41566A" w14:textId="77777777" w:rsidR="00FB5E9C" w:rsidRPr="008B029F" w:rsidRDefault="00FB5E9C">
      <w:pPr>
        <w:rPr>
          <w:rFonts w:ascii="Garamond" w:hAnsi="Garamond"/>
          <w:sz w:val="24"/>
          <w:szCs w:val="24"/>
        </w:rPr>
      </w:pPr>
    </w:p>
    <w:p w14:paraId="6B9CF5D9" w14:textId="77777777" w:rsidR="00FB5E9C" w:rsidRPr="008B029F" w:rsidRDefault="00FB5E9C">
      <w:pPr>
        <w:rPr>
          <w:rFonts w:ascii="Garamond" w:hAnsi="Garamond"/>
          <w:sz w:val="24"/>
          <w:szCs w:val="24"/>
        </w:rPr>
      </w:pPr>
    </w:p>
    <w:p w14:paraId="7F9081C3" w14:textId="77777777" w:rsidR="00FB5E9C" w:rsidRPr="008B029F" w:rsidRDefault="00FB5E9C">
      <w:pPr>
        <w:rPr>
          <w:rFonts w:ascii="Garamond" w:hAnsi="Garamond"/>
          <w:sz w:val="24"/>
          <w:szCs w:val="24"/>
        </w:rPr>
      </w:pPr>
      <w:r w:rsidRPr="008B029F">
        <w:rPr>
          <w:rFonts w:ascii="Garamond" w:hAnsi="Garamond"/>
          <w:sz w:val="24"/>
          <w:szCs w:val="24"/>
        </w:rPr>
        <w:t>Per ulteriori informazioni in merito agli aiuti di stato che non risultano nel precedente elenco si segnala che le stesse sono riscontrabili nel registro pubblico degli aiuti di stato al seguente link:</w:t>
      </w:r>
    </w:p>
    <w:p w14:paraId="65CF0076" w14:textId="77777777" w:rsidR="00FB5E9C" w:rsidRPr="008B029F" w:rsidRDefault="00CE464B">
      <w:pPr>
        <w:rPr>
          <w:rFonts w:ascii="Garamond" w:hAnsi="Garamond"/>
          <w:sz w:val="24"/>
          <w:szCs w:val="24"/>
        </w:rPr>
      </w:pPr>
      <w:hyperlink r:id="rId4" w:history="1">
        <w:r w:rsidR="00FB5E9C" w:rsidRPr="008B029F">
          <w:rPr>
            <w:rStyle w:val="Collegamentoipertestuale"/>
            <w:rFonts w:ascii="Garamond" w:hAnsi="Garamond"/>
            <w:sz w:val="24"/>
            <w:szCs w:val="24"/>
          </w:rPr>
          <w:t>https://www.rna.gov.it/RegistroNazionaleTrasparenza/faces/pages/TrasparenzaAiuto.jspx</w:t>
        </w:r>
      </w:hyperlink>
    </w:p>
    <w:p w14:paraId="51519AFD" w14:textId="77777777" w:rsidR="00FB5E9C" w:rsidRPr="008B029F" w:rsidRDefault="00FB5E9C">
      <w:pPr>
        <w:rPr>
          <w:rFonts w:ascii="Garamond" w:hAnsi="Garamond"/>
          <w:sz w:val="24"/>
          <w:szCs w:val="24"/>
        </w:rPr>
      </w:pPr>
    </w:p>
    <w:p w14:paraId="42B3B9DF" w14:textId="77777777" w:rsidR="00FB5E9C" w:rsidRPr="008B029F" w:rsidRDefault="00FB5E9C">
      <w:pPr>
        <w:rPr>
          <w:rFonts w:ascii="Garamond" w:hAnsi="Garamond"/>
          <w:sz w:val="24"/>
          <w:szCs w:val="24"/>
        </w:rPr>
      </w:pPr>
    </w:p>
    <w:sectPr w:rsidR="00FB5E9C" w:rsidRPr="008B02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9C"/>
    <w:rsid w:val="0001293F"/>
    <w:rsid w:val="000E4AD2"/>
    <w:rsid w:val="002E70E1"/>
    <w:rsid w:val="006C54E4"/>
    <w:rsid w:val="008B029F"/>
    <w:rsid w:val="00A17D7A"/>
    <w:rsid w:val="00CF33B0"/>
    <w:rsid w:val="00E86D85"/>
    <w:rsid w:val="00F771E0"/>
    <w:rsid w:val="00FB5E9C"/>
    <w:rsid w:val="00FE1A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C09C"/>
  <w15:chartTrackingRefBased/>
  <w15:docId w15:val="{9CB6A748-2EDA-4DAB-913E-FA65C30A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B5E9C"/>
    <w:rPr>
      <w:color w:val="0000FF"/>
      <w:u w:val="single"/>
    </w:rPr>
  </w:style>
  <w:style w:type="character" w:styleId="Collegamentovisitato">
    <w:name w:val="FollowedHyperlink"/>
    <w:basedOn w:val="Carpredefinitoparagrafo"/>
    <w:uiPriority w:val="99"/>
    <w:semiHidden/>
    <w:unhideWhenUsed/>
    <w:rsid w:val="00FB5E9C"/>
    <w:rPr>
      <w:color w:val="954F72" w:themeColor="followedHyperlink"/>
      <w:u w:val="single"/>
    </w:rPr>
  </w:style>
  <w:style w:type="table" w:styleId="Grigliatabella">
    <w:name w:val="Table Grid"/>
    <w:basedOn w:val="Tabellanormale"/>
    <w:uiPriority w:val="39"/>
    <w:rsid w:val="00FB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na.gov.it/RegistroNazionaleTrasparenza/faces/pages/TrasparenzaAiuto.j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Onofri</dc:creator>
  <cp:keywords/>
  <dc:description/>
  <cp:lastModifiedBy>Francesco Ascenzi</cp:lastModifiedBy>
  <cp:revision>2</cp:revision>
  <dcterms:created xsi:type="dcterms:W3CDTF">2024-04-30T08:15:00Z</dcterms:created>
  <dcterms:modified xsi:type="dcterms:W3CDTF">2024-04-30T08:15:00Z</dcterms:modified>
</cp:coreProperties>
</file>